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21" w:rsidRDefault="00377B92" w:rsidP="00CE7321">
      <w:pPr>
        <w:jc w:val="center"/>
        <w:rPr>
          <w:b/>
          <w:sz w:val="40"/>
        </w:rPr>
      </w:pPr>
      <w:r w:rsidRPr="00377B92">
        <w:rPr>
          <w:b/>
          <w:sz w:val="40"/>
          <w:u w:val="single"/>
        </w:rPr>
        <w:t>ISOTHERMAL TITRATION CALORIMETRY</w:t>
      </w:r>
      <w:r w:rsidR="00CE7321">
        <w:rPr>
          <w:b/>
          <w:sz w:val="40"/>
          <w:u w:val="single"/>
        </w:rPr>
        <w:t xml:space="preserve"> </w:t>
      </w:r>
      <w:r w:rsidR="00CE7321" w:rsidRPr="00967D7F">
        <w:rPr>
          <w:b/>
          <w:sz w:val="40"/>
          <w:u w:val="single"/>
        </w:rPr>
        <w:t>(VP-ITC)</w:t>
      </w:r>
    </w:p>
    <w:p w:rsidR="00377B92" w:rsidRDefault="00377B92" w:rsidP="00377B92">
      <w:pPr>
        <w:jc w:val="center"/>
        <w:rPr>
          <w:b/>
          <w:sz w:val="40"/>
          <w:u w:val="single"/>
        </w:rPr>
      </w:pPr>
    </w:p>
    <w:p w:rsidR="00CE7321" w:rsidRDefault="00CE7321" w:rsidP="00377B92">
      <w:pPr>
        <w:jc w:val="center"/>
        <w:rPr>
          <w:b/>
          <w:sz w:val="40"/>
        </w:rPr>
      </w:pPr>
      <w:r>
        <w:rPr>
          <w:noProof/>
          <w:lang w:bidi="hi-IN"/>
        </w:rPr>
        <w:drawing>
          <wp:inline distT="0" distB="0" distL="0" distR="0">
            <wp:extent cx="4762500" cy="3448050"/>
            <wp:effectExtent l="0" t="0" r="0" b="0"/>
            <wp:docPr id="1" name="Picture 1" descr="https://www.gelifesciences.com/gehcls_images/GELS/Images/ProductImages/Files/USMM-8E7GXR%5b1%5d-1331061080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elifesciences.com/gehcls_images/GELS/Images/ProductImages/Files/USMM-8E7GXR%5b1%5d-13310610804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2FE" w:rsidRPr="00CE7321" w:rsidRDefault="00CE7321" w:rsidP="00CE7321">
      <w:pPr>
        <w:jc w:val="both"/>
        <w:rPr>
          <w:b/>
          <w:sz w:val="52"/>
        </w:rPr>
      </w:pPr>
      <w:r w:rsidRPr="00CE7321">
        <w:rPr>
          <w:rFonts w:cs="Arial"/>
          <w:b/>
          <w:color w:val="333333"/>
          <w:sz w:val="24"/>
          <w:szCs w:val="18"/>
          <w:shd w:val="clear" w:color="auto" w:fill="FFFFFF"/>
        </w:rPr>
        <w:t xml:space="preserve">Direct and label-free measurement of binding affinity and thermodynamics are obtained with MicroCal VP-ITC. Heat released or absorbed during biochemical binding events is measured directly, giving information </w:t>
      </w:r>
      <w:r w:rsidR="006E5D26">
        <w:rPr>
          <w:rFonts w:cs="Arial"/>
          <w:b/>
          <w:color w:val="333333"/>
          <w:sz w:val="24"/>
          <w:szCs w:val="18"/>
          <w:shd w:val="clear" w:color="auto" w:fill="FFFFFF"/>
        </w:rPr>
        <w:t>relative binding affinity (K</w:t>
      </w:r>
      <w:r w:rsidR="006E5D26" w:rsidRPr="006E5D26">
        <w:rPr>
          <w:rFonts w:cs="Arial"/>
          <w:b/>
          <w:color w:val="333333"/>
          <w:sz w:val="24"/>
          <w:szCs w:val="18"/>
          <w:shd w:val="clear" w:color="auto" w:fill="FFFFFF"/>
          <w:vertAlign w:val="subscript"/>
        </w:rPr>
        <w:t>d</w:t>
      </w:r>
      <w:r w:rsidRPr="00CE7321">
        <w:rPr>
          <w:rFonts w:cs="Arial"/>
          <w:b/>
          <w:color w:val="333333"/>
          <w:sz w:val="24"/>
          <w:szCs w:val="18"/>
          <w:shd w:val="clear" w:color="auto" w:fill="FFFFFF"/>
        </w:rPr>
        <w:t>), stoichiometry (n), enthalpy (ΔH), and entropy (ΔS). This information provides valuable insights into the mechanism of binding.</w:t>
      </w:r>
    </w:p>
    <w:p w:rsidR="00377B92" w:rsidRDefault="00377B92"/>
    <w:tbl>
      <w:tblPr>
        <w:tblStyle w:val="LightShading-Accent3"/>
        <w:tblW w:w="9699" w:type="dxa"/>
        <w:tblLook w:val="04A0" w:firstRow="1" w:lastRow="0" w:firstColumn="1" w:lastColumn="0" w:noHBand="0" w:noVBand="1"/>
      </w:tblPr>
      <w:tblGrid>
        <w:gridCol w:w="4510"/>
        <w:gridCol w:w="5189"/>
      </w:tblGrid>
      <w:tr w:rsidR="00377B92" w:rsidRPr="00377B92" w:rsidTr="00DE0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9" w:type="dxa"/>
            <w:gridSpan w:val="2"/>
            <w:noWrap/>
            <w:hideMark/>
          </w:tcPr>
          <w:p w:rsidR="00377B92" w:rsidRPr="00377B92" w:rsidRDefault="00377B92" w:rsidP="00377B92">
            <w:pPr>
              <w:rPr>
                <w:rFonts w:ascii="Calibri" w:eastAsia="Times New Roman" w:hAnsi="Calibri" w:cs="Times New Roman"/>
              </w:rPr>
            </w:pPr>
            <w:r w:rsidRPr="00377B92">
              <w:rPr>
                <w:rFonts w:ascii="Calibri" w:eastAsia="Times New Roman" w:hAnsi="Calibri" w:cs="Times New Roman"/>
              </w:rPr>
              <w:t xml:space="preserve">                  </w:t>
            </w:r>
            <w:r w:rsidRPr="00377B92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 Instrument Specifications </w:t>
            </w:r>
            <w:r w:rsidRPr="00377B92">
              <w:rPr>
                <w:rFonts w:ascii="Calibri" w:eastAsia="Times New Roman" w:hAnsi="Calibri" w:cs="Times New Roman"/>
              </w:rPr>
              <w:t xml:space="preserve"> </w:t>
            </w:r>
          </w:p>
          <w:p w:rsidR="00377B92" w:rsidRPr="00377B92" w:rsidRDefault="00377B92" w:rsidP="00377B92">
            <w:pPr>
              <w:rPr>
                <w:rFonts w:ascii="Calibri" w:eastAsia="Times New Roman" w:hAnsi="Calibri" w:cs="Times New Roman"/>
                <w:color w:val="000000"/>
              </w:rPr>
            </w:pPr>
            <w:r w:rsidRPr="00377B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7B92" w:rsidRPr="00377B92" w:rsidTr="00DE0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0" w:type="dxa"/>
            <w:noWrap/>
            <w:hideMark/>
          </w:tcPr>
          <w:p w:rsidR="00377B92" w:rsidRPr="00377B92" w:rsidRDefault="00377B92" w:rsidP="00377B92">
            <w:pPr>
              <w:rPr>
                <w:rFonts w:ascii="Calibri" w:eastAsia="Times New Roman" w:hAnsi="Calibri" w:cs="Times New Roman"/>
                <w:sz w:val="32"/>
              </w:rPr>
            </w:pPr>
            <w:r w:rsidRPr="00377B92">
              <w:rPr>
                <w:rFonts w:ascii="Calibri" w:eastAsia="Times New Roman" w:hAnsi="Calibri" w:cs="Times New Roman"/>
                <w:sz w:val="32"/>
              </w:rPr>
              <w:t xml:space="preserve"> </w:t>
            </w:r>
            <w:r w:rsidRPr="00377B92">
              <w:rPr>
                <w:rFonts w:ascii="Calibri" w:eastAsia="Times New Roman" w:hAnsi="Calibri" w:cs="Times New Roman"/>
                <w:color w:val="000000"/>
                <w:sz w:val="32"/>
                <w:szCs w:val="20"/>
              </w:rPr>
              <w:t xml:space="preserve">Model or Type </w:t>
            </w:r>
            <w:r w:rsidRPr="00377B92">
              <w:rPr>
                <w:rFonts w:ascii="Calibri" w:eastAsia="Times New Roman" w:hAnsi="Calibri" w:cs="Times New Roman"/>
                <w:sz w:val="32"/>
              </w:rPr>
              <w:t xml:space="preserve"> </w:t>
            </w:r>
          </w:p>
        </w:tc>
        <w:tc>
          <w:tcPr>
            <w:tcW w:w="5189" w:type="dxa"/>
            <w:noWrap/>
            <w:hideMark/>
          </w:tcPr>
          <w:p w:rsidR="00377B92" w:rsidRPr="00377B92" w:rsidRDefault="00377B92" w:rsidP="00377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32"/>
              </w:rPr>
            </w:pPr>
            <w:r w:rsidRPr="00377B92">
              <w:rPr>
                <w:rFonts w:ascii="Calibri" w:eastAsia="Times New Roman" w:hAnsi="Calibri" w:cs="Times New Roman"/>
                <w:sz w:val="32"/>
              </w:rPr>
              <w:t xml:space="preserve"> </w:t>
            </w:r>
            <w:r w:rsidRPr="00377B9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0"/>
              </w:rPr>
              <w:t>VP-ITC</w:t>
            </w:r>
            <w:r w:rsidRPr="00377B92">
              <w:rPr>
                <w:rFonts w:ascii="Calibri" w:eastAsia="Times New Roman" w:hAnsi="Calibri" w:cs="Times New Roman"/>
                <w:sz w:val="32"/>
              </w:rPr>
              <w:t xml:space="preserve"> </w:t>
            </w:r>
          </w:p>
        </w:tc>
      </w:tr>
      <w:tr w:rsidR="00377B92" w:rsidRPr="00377B92" w:rsidTr="00DE02FE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9" w:type="dxa"/>
            <w:gridSpan w:val="2"/>
            <w:noWrap/>
            <w:hideMark/>
          </w:tcPr>
          <w:p w:rsidR="00377B92" w:rsidRPr="00377B92" w:rsidRDefault="00377B92" w:rsidP="00377B92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</w:rPr>
            </w:pPr>
            <w:r w:rsidRPr="00377B92">
              <w:rPr>
                <w:rFonts w:ascii="Calibri" w:eastAsia="Times New Roman" w:hAnsi="Calibri" w:cs="Times New Roman"/>
                <w:color w:val="000000"/>
                <w:sz w:val="32"/>
              </w:rPr>
              <w:t>Performance Specifications</w:t>
            </w:r>
          </w:p>
          <w:p w:rsidR="00377B92" w:rsidRPr="00377B92" w:rsidRDefault="00377B92" w:rsidP="00377B92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377B92">
              <w:rPr>
                <w:rFonts w:ascii="Calibri" w:eastAsia="Times New Roman" w:hAnsi="Calibri" w:cs="Times New Roman"/>
                <w:color w:val="000000"/>
                <w:sz w:val="32"/>
              </w:rPr>
              <w:t xml:space="preserve"> </w:t>
            </w:r>
          </w:p>
        </w:tc>
      </w:tr>
      <w:tr w:rsidR="00377B92" w:rsidRPr="00377B92" w:rsidTr="00DE0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0" w:type="dxa"/>
            <w:noWrap/>
            <w:hideMark/>
          </w:tcPr>
          <w:p w:rsidR="00377B92" w:rsidRPr="00377B92" w:rsidRDefault="00377B92" w:rsidP="00377B92">
            <w:pPr>
              <w:rPr>
                <w:rFonts w:ascii="Calibri" w:eastAsia="Times New Roman" w:hAnsi="Calibri" w:cs="Times New Roman"/>
                <w:sz w:val="32"/>
              </w:rPr>
            </w:pPr>
            <w:r w:rsidRPr="00377B92">
              <w:rPr>
                <w:rFonts w:ascii="Calibri" w:eastAsia="Times New Roman" w:hAnsi="Calibri" w:cs="Times New Roman"/>
                <w:sz w:val="32"/>
              </w:rPr>
              <w:t xml:space="preserve"> </w:t>
            </w:r>
            <w:r w:rsidRPr="00377B92">
              <w:rPr>
                <w:rFonts w:ascii="Calibri" w:eastAsia="Times New Roman" w:hAnsi="Calibri" w:cs="Times New Roman"/>
                <w:color w:val="000000"/>
                <w:sz w:val="32"/>
                <w:szCs w:val="20"/>
              </w:rPr>
              <w:t xml:space="preserve">Short Term Noise (RMS Average) </w:t>
            </w:r>
            <w:r w:rsidRPr="00377B92">
              <w:rPr>
                <w:rFonts w:ascii="Calibri" w:eastAsia="Times New Roman" w:hAnsi="Calibri" w:cs="Times New Roman"/>
                <w:sz w:val="32"/>
              </w:rPr>
              <w:t xml:space="preserve"> </w:t>
            </w:r>
          </w:p>
        </w:tc>
        <w:tc>
          <w:tcPr>
            <w:tcW w:w="5189" w:type="dxa"/>
            <w:noWrap/>
            <w:hideMark/>
          </w:tcPr>
          <w:p w:rsidR="00377B92" w:rsidRPr="00377B92" w:rsidRDefault="00377B92" w:rsidP="00377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2"/>
              </w:rPr>
            </w:pPr>
            <w:bookmarkStart w:id="0" w:name="_GoBack"/>
            <w:bookmarkEnd w:id="0"/>
            <w:r w:rsidRPr="00377B92">
              <w:rPr>
                <w:rFonts w:ascii="Calibri" w:eastAsia="Times New Roman" w:hAnsi="Calibri" w:cs="Times New Roman"/>
                <w:color w:val="000000"/>
                <w:sz w:val="32"/>
              </w:rPr>
              <w:t xml:space="preserve">0.5 nanocal/sec (2 nanowatts)A  </w:t>
            </w:r>
          </w:p>
        </w:tc>
      </w:tr>
      <w:tr w:rsidR="00377B92" w:rsidRPr="00377B92" w:rsidTr="00DE02FE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0" w:type="dxa"/>
            <w:noWrap/>
            <w:hideMark/>
          </w:tcPr>
          <w:p w:rsidR="00377B92" w:rsidRPr="00377B92" w:rsidRDefault="00377B92" w:rsidP="00377B92">
            <w:pPr>
              <w:rPr>
                <w:rFonts w:ascii="Calibri" w:eastAsia="Times New Roman" w:hAnsi="Calibri" w:cs="Times New Roman"/>
                <w:sz w:val="32"/>
              </w:rPr>
            </w:pPr>
            <w:r w:rsidRPr="00377B92">
              <w:rPr>
                <w:rFonts w:ascii="Calibri" w:eastAsia="Times New Roman" w:hAnsi="Calibri" w:cs="Times New Roman"/>
                <w:sz w:val="32"/>
              </w:rPr>
              <w:t xml:space="preserve"> </w:t>
            </w:r>
            <w:r w:rsidRPr="00377B92">
              <w:rPr>
                <w:rFonts w:ascii="Calibri" w:eastAsia="Times New Roman" w:hAnsi="Calibri" w:cs="Times New Roman"/>
                <w:color w:val="000000"/>
                <w:sz w:val="32"/>
                <w:szCs w:val="20"/>
              </w:rPr>
              <w:t xml:space="preserve">Control Peak Repeatability </w:t>
            </w:r>
            <w:r w:rsidRPr="00377B92">
              <w:rPr>
                <w:rFonts w:ascii="Calibri" w:eastAsia="Times New Roman" w:hAnsi="Calibri" w:cs="Times New Roman"/>
                <w:sz w:val="32"/>
              </w:rPr>
              <w:t xml:space="preserve"> </w:t>
            </w:r>
          </w:p>
        </w:tc>
        <w:tc>
          <w:tcPr>
            <w:tcW w:w="5189" w:type="dxa"/>
            <w:noWrap/>
            <w:hideMark/>
          </w:tcPr>
          <w:p w:rsidR="00377B92" w:rsidRPr="00377B92" w:rsidRDefault="00377B92" w:rsidP="00377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32"/>
              </w:rPr>
            </w:pPr>
            <w:r w:rsidRPr="00377B92">
              <w:rPr>
                <w:rFonts w:ascii="Calibri" w:eastAsia="Times New Roman" w:hAnsi="Calibri" w:cs="Times New Roman"/>
                <w:sz w:val="32"/>
              </w:rPr>
              <w:t xml:space="preserve"> </w:t>
            </w:r>
            <w:r w:rsidRPr="00377B92">
              <w:rPr>
                <w:rFonts w:ascii="Calibri" w:eastAsia="Times New Roman" w:hAnsi="Calibri" w:cs="Times New Roman"/>
                <w:color w:val="000000"/>
                <w:sz w:val="32"/>
                <w:szCs w:val="20"/>
              </w:rPr>
              <w:t xml:space="preserve">Mean ≤ 1.5μCal., s.d. ≤150 nCal B </w:t>
            </w:r>
            <w:r w:rsidRPr="00377B92">
              <w:rPr>
                <w:rFonts w:ascii="Calibri" w:eastAsia="Times New Roman" w:hAnsi="Calibri" w:cs="Times New Roman"/>
                <w:sz w:val="32"/>
              </w:rPr>
              <w:t xml:space="preserve"> </w:t>
            </w:r>
          </w:p>
        </w:tc>
      </w:tr>
      <w:tr w:rsidR="00377B92" w:rsidRPr="00377B92" w:rsidTr="00DE0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0" w:type="dxa"/>
            <w:noWrap/>
            <w:hideMark/>
          </w:tcPr>
          <w:p w:rsidR="00377B92" w:rsidRPr="00377B92" w:rsidRDefault="00377B92" w:rsidP="00377B92">
            <w:pPr>
              <w:rPr>
                <w:rFonts w:ascii="Calibri" w:eastAsia="Times New Roman" w:hAnsi="Calibri" w:cs="Times New Roman"/>
                <w:sz w:val="32"/>
              </w:rPr>
            </w:pPr>
            <w:r w:rsidRPr="00377B92">
              <w:rPr>
                <w:rFonts w:ascii="Calibri" w:eastAsia="Times New Roman" w:hAnsi="Calibri" w:cs="Times New Roman"/>
                <w:sz w:val="32"/>
              </w:rPr>
              <w:lastRenderedPageBreak/>
              <w:t xml:space="preserve"> </w:t>
            </w:r>
            <w:r w:rsidRPr="00377B92">
              <w:rPr>
                <w:rFonts w:ascii="Calibri" w:eastAsia="Times New Roman" w:hAnsi="Calibri" w:cs="Times New Roman"/>
                <w:color w:val="000000"/>
                <w:sz w:val="32"/>
                <w:szCs w:val="20"/>
              </w:rPr>
              <w:t xml:space="preserve">Minimum Response Time (high gain) </w:t>
            </w:r>
            <w:r w:rsidRPr="00377B92">
              <w:rPr>
                <w:rFonts w:ascii="Calibri" w:eastAsia="Times New Roman" w:hAnsi="Calibri" w:cs="Times New Roman"/>
                <w:sz w:val="32"/>
              </w:rPr>
              <w:t xml:space="preserve"> </w:t>
            </w:r>
          </w:p>
        </w:tc>
        <w:tc>
          <w:tcPr>
            <w:tcW w:w="5189" w:type="dxa"/>
            <w:noWrap/>
            <w:hideMark/>
          </w:tcPr>
          <w:p w:rsidR="00377B92" w:rsidRPr="00377B92" w:rsidRDefault="00377B92" w:rsidP="00377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32"/>
              </w:rPr>
            </w:pPr>
            <w:r w:rsidRPr="00377B92">
              <w:rPr>
                <w:rFonts w:ascii="Calibri" w:eastAsia="Times New Roman" w:hAnsi="Calibri" w:cs="Times New Roman"/>
                <w:sz w:val="32"/>
              </w:rPr>
              <w:t xml:space="preserve"> </w:t>
            </w:r>
            <w:r w:rsidRPr="00377B92">
              <w:rPr>
                <w:rFonts w:ascii="Calibri" w:eastAsia="Times New Roman" w:hAnsi="Calibri" w:cs="Times New Roman"/>
                <w:color w:val="000000"/>
                <w:sz w:val="32"/>
                <w:szCs w:val="20"/>
              </w:rPr>
              <w:t xml:space="preserve">20 seconds </w:t>
            </w:r>
            <w:r w:rsidRPr="00377B92">
              <w:rPr>
                <w:rFonts w:ascii="Calibri" w:eastAsia="Times New Roman" w:hAnsi="Calibri" w:cs="Times New Roman"/>
                <w:sz w:val="32"/>
              </w:rPr>
              <w:t xml:space="preserve"> </w:t>
            </w:r>
          </w:p>
        </w:tc>
      </w:tr>
      <w:tr w:rsidR="00377B92" w:rsidRPr="00377B92" w:rsidTr="00DE02FE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0" w:type="dxa"/>
            <w:noWrap/>
            <w:hideMark/>
          </w:tcPr>
          <w:p w:rsidR="00377B92" w:rsidRPr="00377B92" w:rsidRDefault="00377B92" w:rsidP="00377B92">
            <w:pPr>
              <w:rPr>
                <w:rFonts w:ascii="Calibri" w:eastAsia="Times New Roman" w:hAnsi="Calibri" w:cs="Times New Roman"/>
                <w:sz w:val="32"/>
              </w:rPr>
            </w:pPr>
            <w:r w:rsidRPr="00377B92">
              <w:rPr>
                <w:rFonts w:ascii="Calibri" w:eastAsia="Times New Roman" w:hAnsi="Calibri" w:cs="Times New Roman"/>
                <w:sz w:val="32"/>
              </w:rPr>
              <w:t xml:space="preserve"> </w:t>
            </w:r>
            <w:r w:rsidRPr="00377B92">
              <w:rPr>
                <w:rFonts w:ascii="Calibri" w:eastAsia="Times New Roman" w:hAnsi="Calibri" w:cs="Times New Roman"/>
                <w:color w:val="000000"/>
                <w:sz w:val="32"/>
                <w:szCs w:val="20"/>
              </w:rPr>
              <w:t xml:space="preserve">Operating Temperature Range </w:t>
            </w:r>
            <w:r w:rsidRPr="00377B92">
              <w:rPr>
                <w:rFonts w:ascii="Calibri" w:eastAsia="Times New Roman" w:hAnsi="Calibri" w:cs="Times New Roman"/>
                <w:sz w:val="32"/>
              </w:rPr>
              <w:t xml:space="preserve"> </w:t>
            </w:r>
          </w:p>
        </w:tc>
        <w:tc>
          <w:tcPr>
            <w:tcW w:w="5189" w:type="dxa"/>
            <w:noWrap/>
            <w:hideMark/>
          </w:tcPr>
          <w:p w:rsidR="00377B92" w:rsidRPr="00377B92" w:rsidRDefault="00377B92" w:rsidP="00377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32"/>
              </w:rPr>
            </w:pPr>
            <w:r w:rsidRPr="00377B92">
              <w:rPr>
                <w:rFonts w:ascii="Calibri" w:eastAsia="Times New Roman" w:hAnsi="Calibri" w:cs="Times New Roman"/>
                <w:sz w:val="32"/>
              </w:rPr>
              <w:t xml:space="preserve"> </w:t>
            </w:r>
            <w:r w:rsidRPr="00377B92">
              <w:rPr>
                <w:rFonts w:ascii="Calibri" w:eastAsia="Times New Roman" w:hAnsi="Calibri" w:cs="Times New Roman"/>
                <w:color w:val="000000"/>
                <w:sz w:val="32"/>
                <w:szCs w:val="20"/>
              </w:rPr>
              <w:t xml:space="preserve">2° to 80° C </w:t>
            </w:r>
            <w:r w:rsidRPr="00377B92">
              <w:rPr>
                <w:rFonts w:ascii="Calibri" w:eastAsia="Times New Roman" w:hAnsi="Calibri" w:cs="Times New Roman"/>
                <w:sz w:val="32"/>
              </w:rPr>
              <w:t xml:space="preserve"> </w:t>
            </w:r>
          </w:p>
        </w:tc>
      </w:tr>
      <w:tr w:rsidR="00377B92" w:rsidRPr="00377B92" w:rsidTr="00DE0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0" w:type="dxa"/>
            <w:noWrap/>
            <w:hideMark/>
          </w:tcPr>
          <w:p w:rsidR="00377B92" w:rsidRPr="00377B92" w:rsidRDefault="00377B92" w:rsidP="00377B92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377B92">
              <w:rPr>
                <w:rFonts w:ascii="Calibri" w:eastAsia="Times New Roman" w:hAnsi="Calibri" w:cs="Times New Roman"/>
                <w:color w:val="000000"/>
                <w:sz w:val="32"/>
              </w:rPr>
              <w:t xml:space="preserve"> </w:t>
            </w:r>
          </w:p>
        </w:tc>
        <w:tc>
          <w:tcPr>
            <w:tcW w:w="5189" w:type="dxa"/>
            <w:noWrap/>
            <w:hideMark/>
          </w:tcPr>
          <w:p w:rsidR="00377B92" w:rsidRPr="00377B92" w:rsidRDefault="00377B92" w:rsidP="00377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377B92">
              <w:rPr>
                <w:rFonts w:ascii="Calibri" w:eastAsia="Times New Roman" w:hAnsi="Calibri" w:cs="Times New Roman"/>
                <w:color w:val="000000"/>
                <w:sz w:val="32"/>
              </w:rPr>
              <w:t xml:space="preserve"> </w:t>
            </w:r>
          </w:p>
        </w:tc>
      </w:tr>
      <w:tr w:rsidR="00377B92" w:rsidRPr="00377B92" w:rsidTr="00DE02FE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9" w:type="dxa"/>
            <w:gridSpan w:val="2"/>
            <w:noWrap/>
            <w:hideMark/>
          </w:tcPr>
          <w:p w:rsidR="00377B92" w:rsidRPr="00377B92" w:rsidRDefault="00377B92" w:rsidP="00377B92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32"/>
              </w:rPr>
            </w:pPr>
            <w:r w:rsidRPr="00377B92">
              <w:rPr>
                <w:rFonts w:ascii="Calibri" w:eastAsia="Times New Roman" w:hAnsi="Calibri" w:cs="Times New Roman"/>
                <w:color w:val="000000"/>
                <w:sz w:val="32"/>
              </w:rPr>
              <w:t>Physical Specifications</w:t>
            </w:r>
          </w:p>
          <w:p w:rsidR="00377B92" w:rsidRPr="00377B92" w:rsidRDefault="00377B92" w:rsidP="00377B92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377B92">
              <w:rPr>
                <w:rFonts w:ascii="Calibri" w:eastAsia="Times New Roman" w:hAnsi="Calibri" w:cs="Times New Roman"/>
                <w:color w:val="000000"/>
                <w:sz w:val="32"/>
              </w:rPr>
              <w:t> </w:t>
            </w:r>
          </w:p>
        </w:tc>
      </w:tr>
      <w:tr w:rsidR="00377B92" w:rsidRPr="00377B92" w:rsidTr="00DE0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0" w:type="dxa"/>
            <w:noWrap/>
            <w:hideMark/>
          </w:tcPr>
          <w:p w:rsidR="00377B92" w:rsidRPr="00377B92" w:rsidRDefault="00377B92" w:rsidP="00377B92">
            <w:pPr>
              <w:rPr>
                <w:rFonts w:ascii="Calibri" w:eastAsia="Times New Roman" w:hAnsi="Calibri" w:cs="Times New Roman"/>
                <w:sz w:val="32"/>
              </w:rPr>
            </w:pPr>
            <w:r w:rsidRPr="00377B92">
              <w:rPr>
                <w:rFonts w:ascii="Calibri" w:eastAsia="Times New Roman" w:hAnsi="Calibri" w:cs="Times New Roman"/>
                <w:sz w:val="32"/>
              </w:rPr>
              <w:t xml:space="preserve"> </w:t>
            </w:r>
            <w:r w:rsidRPr="00377B92">
              <w:rPr>
                <w:rFonts w:ascii="Calibri" w:eastAsia="Times New Roman" w:hAnsi="Calibri" w:cs="Times New Roman"/>
                <w:color w:val="000000"/>
                <w:sz w:val="32"/>
                <w:szCs w:val="20"/>
              </w:rPr>
              <w:t xml:space="preserve">Cell Material </w:t>
            </w:r>
            <w:r w:rsidRPr="00377B92">
              <w:rPr>
                <w:rFonts w:ascii="Calibri" w:eastAsia="Times New Roman" w:hAnsi="Calibri" w:cs="Times New Roman"/>
                <w:sz w:val="32"/>
              </w:rPr>
              <w:t xml:space="preserve"> </w:t>
            </w:r>
          </w:p>
        </w:tc>
        <w:tc>
          <w:tcPr>
            <w:tcW w:w="5189" w:type="dxa"/>
            <w:noWrap/>
            <w:hideMark/>
          </w:tcPr>
          <w:p w:rsidR="00377B92" w:rsidRPr="00377B92" w:rsidRDefault="00377B92" w:rsidP="00377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32"/>
              </w:rPr>
            </w:pPr>
            <w:r w:rsidRPr="00377B92">
              <w:rPr>
                <w:rFonts w:ascii="Calibri" w:eastAsia="Times New Roman" w:hAnsi="Calibri" w:cs="Times New Roman"/>
                <w:sz w:val="32"/>
              </w:rPr>
              <w:t xml:space="preserve"> </w:t>
            </w:r>
            <w:r w:rsidRPr="00377B92">
              <w:rPr>
                <w:rFonts w:ascii="Calibri" w:eastAsia="Times New Roman" w:hAnsi="Calibri" w:cs="Times New Roman"/>
                <w:color w:val="000000"/>
                <w:sz w:val="32"/>
                <w:szCs w:val="20"/>
              </w:rPr>
              <w:t xml:space="preserve">Hastelloy® Alloy C-276 </w:t>
            </w:r>
            <w:r w:rsidRPr="00377B92">
              <w:rPr>
                <w:rFonts w:ascii="Calibri" w:eastAsia="Times New Roman" w:hAnsi="Calibri" w:cs="Times New Roman"/>
                <w:sz w:val="32"/>
              </w:rPr>
              <w:t xml:space="preserve"> </w:t>
            </w:r>
          </w:p>
        </w:tc>
      </w:tr>
    </w:tbl>
    <w:p w:rsidR="00967D7F" w:rsidRDefault="00967D7F">
      <w:pPr>
        <w:rPr>
          <w:b/>
          <w:sz w:val="48"/>
          <w:szCs w:val="24"/>
        </w:rPr>
      </w:pPr>
    </w:p>
    <w:p w:rsidR="00377B92" w:rsidRPr="00377B92" w:rsidRDefault="00377B92" w:rsidP="00967D7F">
      <w:pPr>
        <w:spacing w:after="0"/>
        <w:rPr>
          <w:b/>
          <w:sz w:val="48"/>
          <w:szCs w:val="24"/>
        </w:rPr>
      </w:pPr>
      <w:r w:rsidRPr="00377B92">
        <w:rPr>
          <w:b/>
          <w:sz w:val="48"/>
          <w:szCs w:val="24"/>
        </w:rPr>
        <w:t>Accessories</w:t>
      </w:r>
    </w:p>
    <w:p w:rsidR="00377B92" w:rsidRDefault="00377B92">
      <w:pPr>
        <w:rPr>
          <w:sz w:val="24"/>
          <w:szCs w:val="24"/>
        </w:rPr>
      </w:pPr>
    </w:p>
    <w:p w:rsidR="00377B92" w:rsidRPr="00377B92" w:rsidRDefault="00377B92" w:rsidP="00967D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7B92">
        <w:rPr>
          <w:sz w:val="28"/>
          <w:szCs w:val="28"/>
        </w:rPr>
        <w:t>Ultrasensitive VP-ITC Microcalorimetry Cell.</w:t>
      </w:r>
    </w:p>
    <w:p w:rsidR="00377B92" w:rsidRPr="00377B92" w:rsidRDefault="00377B92" w:rsidP="00967D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7B92">
        <w:rPr>
          <w:sz w:val="28"/>
          <w:szCs w:val="28"/>
        </w:rPr>
        <w:t>VP control unit</w:t>
      </w:r>
    </w:p>
    <w:p w:rsidR="00377B92" w:rsidRPr="00377B92" w:rsidRDefault="00377B92" w:rsidP="00967D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7B92">
        <w:rPr>
          <w:sz w:val="28"/>
          <w:szCs w:val="28"/>
        </w:rPr>
        <w:t xml:space="preserve">Themo Vac Temperature controlled </w:t>
      </w:r>
      <w:r w:rsidR="00B57383">
        <w:rPr>
          <w:sz w:val="28"/>
          <w:szCs w:val="28"/>
        </w:rPr>
        <w:t xml:space="preserve">sample preparation and cleaning </w:t>
      </w:r>
      <w:r w:rsidRPr="00377B92">
        <w:rPr>
          <w:sz w:val="28"/>
          <w:szCs w:val="28"/>
        </w:rPr>
        <w:t>device.</w:t>
      </w:r>
    </w:p>
    <w:p w:rsidR="00377B92" w:rsidRPr="00377B92" w:rsidRDefault="00377B92" w:rsidP="00967D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7B92">
        <w:rPr>
          <w:sz w:val="28"/>
          <w:szCs w:val="28"/>
        </w:rPr>
        <w:t>Three injection syringe, syringe holder, pipette stand</w:t>
      </w:r>
    </w:p>
    <w:p w:rsidR="002C5B40" w:rsidRPr="00967D7F" w:rsidRDefault="00967D7F" w:rsidP="00967D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Accessories box with: </w:t>
      </w:r>
      <w:r w:rsidR="00377B92" w:rsidRPr="00377B92">
        <w:rPr>
          <w:sz w:val="28"/>
          <w:szCs w:val="28"/>
        </w:rPr>
        <w:t>Filling and empting syringe and assemblies and more</w:t>
      </w:r>
      <w:r>
        <w:rPr>
          <w:sz w:val="28"/>
          <w:szCs w:val="28"/>
        </w:rPr>
        <w:t>.</w:t>
      </w:r>
    </w:p>
    <w:sectPr w:rsidR="002C5B40" w:rsidRPr="00967D7F" w:rsidSect="005B2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D0E" w:rsidRDefault="00832D0E" w:rsidP="00377B92">
      <w:pPr>
        <w:spacing w:after="0" w:line="240" w:lineRule="auto"/>
      </w:pPr>
      <w:r>
        <w:separator/>
      </w:r>
    </w:p>
  </w:endnote>
  <w:endnote w:type="continuationSeparator" w:id="0">
    <w:p w:rsidR="00832D0E" w:rsidRDefault="00832D0E" w:rsidP="0037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D0E" w:rsidRDefault="00832D0E" w:rsidP="00377B92">
      <w:pPr>
        <w:spacing w:after="0" w:line="240" w:lineRule="auto"/>
      </w:pPr>
      <w:r>
        <w:separator/>
      </w:r>
    </w:p>
  </w:footnote>
  <w:footnote w:type="continuationSeparator" w:id="0">
    <w:p w:rsidR="00832D0E" w:rsidRDefault="00832D0E" w:rsidP="00377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9672A"/>
    <w:multiLevelType w:val="hybridMultilevel"/>
    <w:tmpl w:val="EEF25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7B92"/>
    <w:rsid w:val="002C5B40"/>
    <w:rsid w:val="00333FD6"/>
    <w:rsid w:val="00354EB5"/>
    <w:rsid w:val="00377B92"/>
    <w:rsid w:val="005B2DF8"/>
    <w:rsid w:val="0060263A"/>
    <w:rsid w:val="0069031C"/>
    <w:rsid w:val="006E5D26"/>
    <w:rsid w:val="0081693F"/>
    <w:rsid w:val="00832D0E"/>
    <w:rsid w:val="00967D7F"/>
    <w:rsid w:val="00A93E6F"/>
    <w:rsid w:val="00B57383"/>
    <w:rsid w:val="00BC4634"/>
    <w:rsid w:val="00BF63A0"/>
    <w:rsid w:val="00CE7321"/>
    <w:rsid w:val="00DE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688AAE-E0A4-40E6-8E3A-0322FCEF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B92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69031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4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1E595-AFDF-41CA-9A91-5BB9A440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S.D.Bhat</dc:creator>
  <cp:keywords/>
  <dc:description/>
  <cp:lastModifiedBy>ISD IMTECH</cp:lastModifiedBy>
  <cp:revision>12</cp:revision>
  <dcterms:created xsi:type="dcterms:W3CDTF">2013-05-23T04:29:00Z</dcterms:created>
  <dcterms:modified xsi:type="dcterms:W3CDTF">2016-09-12T11:06:00Z</dcterms:modified>
</cp:coreProperties>
</file>